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B0" w:rsidRPr="009A78B0" w:rsidRDefault="0002348A" w:rsidP="009A78B0">
      <w:pPr>
        <w:jc w:val="both"/>
        <w:outlineLvl w:val="0"/>
        <w:rPr>
          <w:rFonts w:ascii="Arial" w:eastAsia="Calibri" w:hAnsi="Arial" w:cs="Arial"/>
          <w:b/>
          <w:lang w:val="en-GB"/>
        </w:rPr>
      </w:pPr>
      <w:r>
        <w:rPr>
          <w:rFonts w:ascii="Arial" w:eastAsia="Calibri" w:hAnsi="Arial" w:cs="Arial"/>
          <w:noProof/>
          <w:sz w:val="20"/>
          <w:szCs w:val="20"/>
          <w:lang w:eastAsia="fr-BE"/>
        </w:rPr>
        <w:drawing>
          <wp:anchor distT="0" distB="0" distL="114300" distR="114300" simplePos="0" relativeHeight="251658240" behindDoc="0" locked="0" layoutInCell="1" allowOverlap="1">
            <wp:simplePos x="0" y="0"/>
            <wp:positionH relativeFrom="column">
              <wp:posOffset>3560445</wp:posOffset>
            </wp:positionH>
            <wp:positionV relativeFrom="paragraph">
              <wp:posOffset>352425</wp:posOffset>
            </wp:positionV>
            <wp:extent cx="2193925" cy="4343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_logo_supportedby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925" cy="434340"/>
                    </a:xfrm>
                    <a:prstGeom prst="rect">
                      <a:avLst/>
                    </a:prstGeom>
                  </pic:spPr>
                </pic:pic>
              </a:graphicData>
            </a:graphic>
          </wp:anchor>
        </w:drawing>
      </w:r>
      <w:r w:rsidR="0017178C">
        <w:rPr>
          <w:rFonts w:ascii="Arial" w:eastAsia="Calibri" w:hAnsi="Arial" w:cs="Arial"/>
          <w:b/>
          <w:noProof/>
          <w:lang w:eastAsia="fr-BE"/>
        </w:rPr>
        <w:drawing>
          <wp:inline distT="0" distB="0" distL="0" distR="0">
            <wp:extent cx="1695450" cy="1074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E-CMYK_vierkant.jpg"/>
                    <pic:cNvPicPr/>
                  </pic:nvPicPr>
                  <pic:blipFill rotWithShape="1">
                    <a:blip r:embed="rId10" cstate="print">
                      <a:extLst>
                        <a:ext uri="{28A0092B-C50C-407E-A947-70E740481C1C}">
                          <a14:useLocalDpi xmlns:a14="http://schemas.microsoft.com/office/drawing/2010/main" val="0"/>
                        </a:ext>
                      </a:extLst>
                    </a:blip>
                    <a:srcRect t="16494" b="20103"/>
                    <a:stretch/>
                  </pic:blipFill>
                  <pic:spPr bwMode="auto">
                    <a:xfrm>
                      <a:off x="0" y="0"/>
                      <a:ext cx="1703862" cy="1080283"/>
                    </a:xfrm>
                    <a:prstGeom prst="rect">
                      <a:avLst/>
                    </a:prstGeom>
                    <a:ln>
                      <a:noFill/>
                    </a:ln>
                    <a:extLst>
                      <a:ext uri="{53640926-AAD7-44D8-BBD7-CCE9431645EC}">
                        <a14:shadowObscured xmlns:a14="http://schemas.microsoft.com/office/drawing/2010/main"/>
                      </a:ext>
                    </a:extLst>
                  </pic:spPr>
                </pic:pic>
              </a:graphicData>
            </a:graphic>
          </wp:inline>
        </w:drawing>
      </w:r>
      <w:r w:rsidR="0017178C" w:rsidRPr="0017178C">
        <w:rPr>
          <w:rFonts w:ascii="Arial" w:eastAsia="Calibri" w:hAnsi="Arial" w:cs="Arial"/>
          <w:sz w:val="20"/>
          <w:szCs w:val="20"/>
          <w:lang w:val="en-GB"/>
        </w:rPr>
        <w:br/>
      </w:r>
      <w:r w:rsidR="0017178C" w:rsidRPr="009A78B0">
        <w:rPr>
          <w:rFonts w:ascii="Arial" w:eastAsia="Calibri" w:hAnsi="Arial" w:cs="Arial"/>
          <w:i/>
          <w:color w:val="92D050"/>
          <w:lang w:val="en-GB"/>
        </w:rPr>
        <w:t xml:space="preserve">A </w:t>
      </w:r>
      <w:r w:rsidR="0017178C" w:rsidRPr="009A78B0">
        <w:rPr>
          <w:rFonts w:ascii="Arial" w:eastAsia="Calibri" w:hAnsi="Arial" w:cs="Arial"/>
          <w:b/>
          <w:i/>
          <w:color w:val="92D050"/>
          <w:lang w:val="en-GB"/>
        </w:rPr>
        <w:t>European campaign for Smart Energy Buildings</w:t>
      </w:r>
      <w:r w:rsidR="0017178C" w:rsidRPr="009A78B0">
        <w:rPr>
          <w:rFonts w:ascii="Arial" w:eastAsia="Calibri" w:hAnsi="Arial" w:cs="Arial"/>
          <w:i/>
          <w:color w:val="92D050"/>
          <w:lang w:val="en-GB"/>
        </w:rPr>
        <w:t xml:space="preserve"> was launched in May 2011 by a consortium of leading associations, agencies and companies specialised in renewable energy, energy efficiency and sustainable communication</w:t>
      </w:r>
      <w:r w:rsidR="0017178C" w:rsidRPr="009A78B0">
        <w:rPr>
          <w:rFonts w:ascii="Arial" w:eastAsia="Calibri" w:hAnsi="Arial" w:cs="Arial"/>
          <w:i/>
          <w:color w:val="92D050"/>
          <w:vertAlign w:val="superscript"/>
          <w:lang w:val="en-GB"/>
        </w:rPr>
        <w:footnoteReference w:id="1"/>
      </w:r>
      <w:r w:rsidR="0017178C" w:rsidRPr="009A78B0">
        <w:rPr>
          <w:rFonts w:ascii="Arial" w:eastAsia="Calibri" w:hAnsi="Arial" w:cs="Arial"/>
          <w:i/>
          <w:color w:val="92D050"/>
          <w:lang w:val="en-GB"/>
        </w:rPr>
        <w:t>. A major push to double or even triple the renovation rate of Europe’s buildings is necessary in order to meet Europe’s 20-20-20 goals and to reap the extensive benefits that nearly zero energy buildings bring to citizens and society alike. The campaign is supported by the Intelligent Energy Europe Programme of the European Commission.</w:t>
      </w:r>
      <w:r w:rsidR="0017178C" w:rsidRPr="009A78B0">
        <w:rPr>
          <w:rFonts w:ascii="Arial" w:eastAsia="Calibri" w:hAnsi="Arial" w:cs="Arial"/>
          <w:i/>
          <w:color w:val="92D050"/>
          <w:vertAlign w:val="superscript"/>
          <w:lang w:val="en-GB"/>
        </w:rPr>
        <w:footnoteReference w:id="2"/>
      </w:r>
    </w:p>
    <w:p w:rsidR="009A78B0" w:rsidRPr="009A78B0" w:rsidRDefault="009A78B0" w:rsidP="009A78B0">
      <w:pPr>
        <w:jc w:val="center"/>
        <w:outlineLvl w:val="0"/>
        <w:rPr>
          <w:rFonts w:ascii="Arial" w:eastAsia="Calibri" w:hAnsi="Arial" w:cs="Arial"/>
          <w:b/>
          <w:color w:val="FFC000"/>
          <w:sz w:val="40"/>
          <w:szCs w:val="40"/>
          <w:lang w:val="en-GB"/>
        </w:rPr>
      </w:pPr>
      <w:r w:rsidRPr="009A78B0">
        <w:rPr>
          <w:rFonts w:ascii="Arial" w:eastAsia="Calibri" w:hAnsi="Arial" w:cs="Arial"/>
          <w:b/>
          <w:color w:val="FFC000"/>
          <w:sz w:val="40"/>
          <w:szCs w:val="40"/>
          <w:lang w:val="en-GB"/>
        </w:rPr>
        <w:t xml:space="preserve">Declaration of Support </w:t>
      </w:r>
    </w:p>
    <w:p w:rsidR="0017178C" w:rsidRPr="009A78B0" w:rsidRDefault="00D34F50" w:rsidP="009A78B0">
      <w:pPr>
        <w:tabs>
          <w:tab w:val="left" w:pos="9072"/>
        </w:tabs>
        <w:jc w:val="both"/>
        <w:rPr>
          <w:rFonts w:ascii="Arial" w:eastAsia="Calibri" w:hAnsi="Arial" w:cs="Arial"/>
          <w:sz w:val="20"/>
          <w:szCs w:val="20"/>
          <w:lang w:val="en-GB"/>
        </w:rPr>
      </w:pPr>
      <w:r>
        <w:rPr>
          <w:rFonts w:ascii="Arial" w:eastAsia="Calibri" w:hAnsi="Arial" w:cs="Arial"/>
          <w:b/>
          <w:sz w:val="20"/>
          <w:szCs w:val="20"/>
          <w:lang w:val="en-GB"/>
        </w:rPr>
        <w:t>I, the undersigned Member of Parliament</w:t>
      </w:r>
      <w:r w:rsidR="0017178C" w:rsidRPr="009A78B0">
        <w:rPr>
          <w:rFonts w:ascii="Arial" w:eastAsia="Calibri" w:hAnsi="Arial" w:cs="Arial"/>
          <w:b/>
          <w:sz w:val="20"/>
          <w:szCs w:val="20"/>
          <w:lang w:val="en-GB"/>
        </w:rPr>
        <w:t>, support the Smart-e Buildings’ cause</w:t>
      </w:r>
      <w:r w:rsidR="0017178C" w:rsidRPr="009A78B0">
        <w:rPr>
          <w:rFonts w:ascii="Arial" w:eastAsia="Calibri" w:hAnsi="Arial" w:cs="Arial"/>
          <w:sz w:val="20"/>
          <w:szCs w:val="20"/>
          <w:lang w:val="en-GB"/>
        </w:rPr>
        <w:t xml:space="preserve"> and call for all of Europe’s buildings to stop wasting large amounts of energy and become completely independent from the use of non-renewable energy sources such as oil, gas, coal and uranium.</w:t>
      </w:r>
    </w:p>
    <w:p w:rsidR="0017178C" w:rsidRPr="009A78B0" w:rsidRDefault="0017178C" w:rsidP="009A78B0">
      <w:pPr>
        <w:tabs>
          <w:tab w:val="left" w:pos="9072"/>
        </w:tabs>
        <w:jc w:val="both"/>
        <w:rPr>
          <w:rFonts w:ascii="Arial" w:eastAsia="Calibri" w:hAnsi="Arial" w:cs="Arial"/>
          <w:sz w:val="20"/>
          <w:szCs w:val="20"/>
          <w:lang w:val="en-GB"/>
        </w:rPr>
      </w:pPr>
      <w:r w:rsidRPr="009A78B0">
        <w:rPr>
          <w:rFonts w:ascii="Arial" w:eastAsia="Calibri" w:hAnsi="Arial" w:cs="Arial"/>
          <w:sz w:val="20"/>
          <w:szCs w:val="20"/>
          <w:lang w:val="en-GB"/>
        </w:rPr>
        <w:t>By 2050, the overwhelming majority of the building stock should be heated, cooled and operated only with renewable energies. This will happen through a smart combination of energy efficiency measures and of renewable energy supply technologies.</w:t>
      </w:r>
    </w:p>
    <w:p w:rsidR="0017178C" w:rsidRPr="009A78B0" w:rsidRDefault="00D34F50" w:rsidP="009A78B0">
      <w:pPr>
        <w:tabs>
          <w:tab w:val="left" w:pos="9072"/>
        </w:tabs>
        <w:rPr>
          <w:rFonts w:ascii="Arial" w:eastAsia="Calibri" w:hAnsi="Arial" w:cs="Arial"/>
          <w:b/>
          <w:sz w:val="20"/>
          <w:szCs w:val="20"/>
          <w:u w:val="single"/>
          <w:lang w:val="en-GB"/>
        </w:rPr>
      </w:pPr>
      <w:r>
        <w:rPr>
          <w:rFonts w:ascii="Arial" w:eastAsia="Calibri" w:hAnsi="Arial" w:cs="Arial"/>
          <w:b/>
          <w:sz w:val="20"/>
          <w:szCs w:val="20"/>
          <w:u w:val="single"/>
          <w:lang w:val="en-GB"/>
        </w:rPr>
        <w:t>I, the undersigned Member of Parliament</w:t>
      </w:r>
      <w:r w:rsidR="0017178C" w:rsidRPr="009A78B0">
        <w:rPr>
          <w:rFonts w:ascii="Arial" w:eastAsia="Calibri" w:hAnsi="Arial" w:cs="Arial"/>
          <w:b/>
          <w:sz w:val="20"/>
          <w:szCs w:val="20"/>
          <w:u w:val="single"/>
          <w:lang w:val="en-GB"/>
        </w:rPr>
        <w:t>:</w:t>
      </w:r>
    </w:p>
    <w:p w:rsidR="0017178C" w:rsidRPr="009A78B0" w:rsidRDefault="0017178C" w:rsidP="009A78B0">
      <w:pPr>
        <w:numPr>
          <w:ilvl w:val="0"/>
          <w:numId w:val="1"/>
        </w:numPr>
        <w:tabs>
          <w:tab w:val="left" w:pos="9072"/>
        </w:tabs>
        <w:contextualSpacing/>
        <w:jc w:val="both"/>
        <w:rPr>
          <w:rFonts w:ascii="Arial" w:eastAsia="Calibri" w:hAnsi="Arial" w:cs="Arial"/>
          <w:sz w:val="20"/>
          <w:szCs w:val="20"/>
          <w:lang w:val="en-GB"/>
        </w:rPr>
      </w:pPr>
      <w:r w:rsidRPr="009A78B0">
        <w:rPr>
          <w:rFonts w:ascii="Arial" w:eastAsia="Calibri" w:hAnsi="Arial" w:cs="Arial"/>
          <w:sz w:val="20"/>
          <w:szCs w:val="20"/>
          <w:lang w:val="en-GB"/>
        </w:rPr>
        <w:t>Consider it imperative that the refurbishment of Europe’s buildings is prioritised in all Member States as a cost-effective way of reducing energy bills, saving carbon emissions, promoting job creation and enhancing security of energy supply,</w:t>
      </w:r>
    </w:p>
    <w:p w:rsidR="0017178C" w:rsidRPr="009A78B0" w:rsidRDefault="00D34F50" w:rsidP="009A78B0">
      <w:pPr>
        <w:numPr>
          <w:ilvl w:val="0"/>
          <w:numId w:val="1"/>
        </w:numPr>
        <w:tabs>
          <w:tab w:val="left" w:pos="9072"/>
        </w:tabs>
        <w:contextualSpacing/>
        <w:jc w:val="both"/>
        <w:rPr>
          <w:rFonts w:ascii="Arial" w:eastAsia="Calibri" w:hAnsi="Arial" w:cs="Arial"/>
          <w:sz w:val="20"/>
          <w:szCs w:val="20"/>
          <w:lang w:val="en-GB"/>
        </w:rPr>
      </w:pPr>
      <w:r>
        <w:rPr>
          <w:rFonts w:ascii="Arial" w:eastAsia="Calibri" w:hAnsi="Arial" w:cs="Arial"/>
          <w:sz w:val="20"/>
          <w:szCs w:val="20"/>
          <w:lang w:val="en-GB"/>
        </w:rPr>
        <w:t>Am</w:t>
      </w:r>
      <w:r w:rsidR="0017178C" w:rsidRPr="009A78B0">
        <w:rPr>
          <w:rFonts w:ascii="Arial" w:eastAsia="Calibri" w:hAnsi="Arial" w:cs="Arial"/>
          <w:sz w:val="20"/>
          <w:szCs w:val="20"/>
          <w:lang w:val="en-GB"/>
        </w:rPr>
        <w:t xml:space="preserve"> aware that technologies exist on the market today that make very smart energy buildings a real possibility already,</w:t>
      </w:r>
    </w:p>
    <w:p w:rsidR="0017178C" w:rsidRPr="009A78B0" w:rsidRDefault="00D34F50" w:rsidP="009A78B0">
      <w:pPr>
        <w:numPr>
          <w:ilvl w:val="0"/>
          <w:numId w:val="1"/>
        </w:numPr>
        <w:tabs>
          <w:tab w:val="left" w:pos="9072"/>
        </w:tabs>
        <w:contextualSpacing/>
        <w:jc w:val="both"/>
        <w:rPr>
          <w:rFonts w:ascii="Arial" w:eastAsia="Calibri" w:hAnsi="Arial" w:cs="Arial"/>
          <w:sz w:val="20"/>
          <w:szCs w:val="20"/>
          <w:lang w:val="en-GB"/>
        </w:rPr>
      </w:pPr>
      <w:r>
        <w:rPr>
          <w:rFonts w:ascii="Arial" w:eastAsia="Calibri" w:hAnsi="Arial" w:cs="Arial"/>
          <w:sz w:val="20"/>
          <w:szCs w:val="20"/>
          <w:lang w:val="en-GB"/>
        </w:rPr>
        <w:t xml:space="preserve">Stress that smart energy </w:t>
      </w:r>
      <w:r w:rsidR="0017178C" w:rsidRPr="009A78B0">
        <w:rPr>
          <w:rFonts w:ascii="Arial" w:eastAsia="Calibri" w:hAnsi="Arial" w:cs="Arial"/>
          <w:sz w:val="20"/>
          <w:szCs w:val="20"/>
          <w:lang w:val="en-GB"/>
        </w:rPr>
        <w:t xml:space="preserve">buildings (new and refurbished) can enhance the widespread </w:t>
      </w:r>
      <w:r>
        <w:rPr>
          <w:rFonts w:ascii="Arial" w:eastAsia="Calibri" w:hAnsi="Arial" w:cs="Arial"/>
          <w:sz w:val="20"/>
          <w:szCs w:val="20"/>
          <w:lang w:val="en-GB"/>
        </w:rPr>
        <w:t>use</w:t>
      </w:r>
      <w:r w:rsidR="0017178C" w:rsidRPr="009A78B0">
        <w:rPr>
          <w:rFonts w:ascii="Arial" w:eastAsia="Calibri" w:hAnsi="Arial" w:cs="Arial"/>
          <w:sz w:val="20"/>
          <w:szCs w:val="20"/>
          <w:lang w:val="en-GB"/>
        </w:rPr>
        <w:t xml:space="preserve"> of de-centralised, renewable and energy-efficient solutions</w:t>
      </w:r>
      <w:r>
        <w:rPr>
          <w:rFonts w:ascii="Arial" w:eastAsia="Calibri" w:hAnsi="Arial" w:cs="Arial"/>
          <w:sz w:val="20"/>
          <w:szCs w:val="20"/>
          <w:lang w:val="en-GB"/>
        </w:rPr>
        <w:t>,</w:t>
      </w:r>
    </w:p>
    <w:p w:rsidR="0017178C" w:rsidRPr="009A78B0" w:rsidRDefault="0017178C" w:rsidP="009A78B0">
      <w:pPr>
        <w:numPr>
          <w:ilvl w:val="0"/>
          <w:numId w:val="1"/>
        </w:numPr>
        <w:tabs>
          <w:tab w:val="left" w:pos="9072"/>
        </w:tabs>
        <w:contextualSpacing/>
        <w:jc w:val="both"/>
        <w:rPr>
          <w:rFonts w:ascii="Arial" w:eastAsia="Calibri" w:hAnsi="Arial" w:cs="Arial"/>
          <w:sz w:val="20"/>
          <w:szCs w:val="20"/>
          <w:lang w:val="en-GB"/>
        </w:rPr>
      </w:pPr>
      <w:r w:rsidRPr="009A78B0">
        <w:rPr>
          <w:rFonts w:ascii="Arial" w:eastAsia="Calibri" w:hAnsi="Arial" w:cs="Arial"/>
          <w:sz w:val="20"/>
          <w:szCs w:val="20"/>
          <w:lang w:val="en-GB"/>
        </w:rPr>
        <w:t>Underline that a critical mass in refurbishment of buildings would lead to greater affordability, increased skill levels in the workforce and invigorate an ailing European construction industry,</w:t>
      </w:r>
    </w:p>
    <w:p w:rsidR="0017178C" w:rsidRPr="009A78B0" w:rsidRDefault="0017178C" w:rsidP="009A78B0">
      <w:pPr>
        <w:numPr>
          <w:ilvl w:val="0"/>
          <w:numId w:val="1"/>
        </w:numPr>
        <w:tabs>
          <w:tab w:val="left" w:pos="9072"/>
        </w:tabs>
        <w:contextualSpacing/>
        <w:jc w:val="both"/>
        <w:rPr>
          <w:rFonts w:ascii="Arial" w:eastAsia="Calibri" w:hAnsi="Arial" w:cs="Arial"/>
          <w:sz w:val="20"/>
          <w:szCs w:val="20"/>
          <w:lang w:val="en-GB"/>
        </w:rPr>
      </w:pPr>
      <w:r w:rsidRPr="009A78B0">
        <w:rPr>
          <w:rFonts w:ascii="Arial" w:eastAsia="Calibri" w:hAnsi="Arial" w:cs="Arial"/>
          <w:sz w:val="20"/>
          <w:szCs w:val="20"/>
          <w:lang w:val="en-GB"/>
        </w:rPr>
        <w:t>Consider it crucial that the EU and Member States adopt a clear roadmap and mandatory targets for transforming Europe’s buildings into smart power houses over the coming decades,</w:t>
      </w:r>
    </w:p>
    <w:p w:rsidR="0017178C" w:rsidRDefault="0017178C" w:rsidP="0037057C">
      <w:pPr>
        <w:numPr>
          <w:ilvl w:val="0"/>
          <w:numId w:val="1"/>
        </w:numPr>
        <w:tabs>
          <w:tab w:val="left" w:pos="9072"/>
        </w:tabs>
        <w:contextualSpacing/>
        <w:jc w:val="both"/>
        <w:rPr>
          <w:rFonts w:ascii="Arial" w:eastAsia="Calibri" w:hAnsi="Arial" w:cs="Arial"/>
          <w:sz w:val="20"/>
          <w:szCs w:val="20"/>
          <w:lang w:val="en-GB"/>
        </w:rPr>
      </w:pPr>
      <w:r w:rsidRPr="009A78B0">
        <w:rPr>
          <w:rFonts w:ascii="Arial" w:eastAsia="Calibri" w:hAnsi="Arial" w:cs="Arial"/>
          <w:sz w:val="20"/>
          <w:szCs w:val="20"/>
          <w:lang w:val="en-GB"/>
        </w:rPr>
        <w:t>Emphasise the need for the public sector to take the lead in advancing the way towards smarter buildings,</w:t>
      </w:r>
    </w:p>
    <w:p w:rsidR="0037057C" w:rsidRPr="00535C20" w:rsidRDefault="0037057C" w:rsidP="0037057C">
      <w:pPr>
        <w:tabs>
          <w:tab w:val="left" w:pos="9072"/>
        </w:tabs>
        <w:contextualSpacing/>
        <w:jc w:val="both"/>
        <w:rPr>
          <w:rFonts w:ascii="Arial" w:eastAsia="Calibri" w:hAnsi="Arial" w:cs="Arial"/>
          <w:sz w:val="32"/>
          <w:szCs w:val="3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211"/>
      </w:tblGrid>
      <w:tr w:rsidR="0037057C" w:rsidRPr="0037057C" w:rsidTr="0037057C">
        <w:tc>
          <w:tcPr>
            <w:tcW w:w="4077" w:type="dxa"/>
          </w:tcPr>
          <w:p w:rsidR="0037057C" w:rsidRPr="0037057C" w:rsidRDefault="0037057C" w:rsidP="00535C20">
            <w:pPr>
              <w:spacing w:line="360" w:lineRule="auto"/>
            </w:pPr>
            <w:r w:rsidRPr="0037057C">
              <w:t>Date:</w:t>
            </w:r>
          </w:p>
        </w:tc>
        <w:tc>
          <w:tcPr>
            <w:tcW w:w="5211" w:type="dxa"/>
          </w:tcPr>
          <w:p w:rsidR="0037057C" w:rsidRPr="0037057C" w:rsidRDefault="0037057C" w:rsidP="00535C20">
            <w:pPr>
              <w:spacing w:line="360" w:lineRule="auto"/>
            </w:pPr>
            <w:r>
              <w:t>Name:</w:t>
            </w:r>
          </w:p>
        </w:tc>
      </w:tr>
      <w:tr w:rsidR="0037057C" w:rsidRPr="0037057C" w:rsidTr="0037057C">
        <w:tc>
          <w:tcPr>
            <w:tcW w:w="4077" w:type="dxa"/>
          </w:tcPr>
          <w:p w:rsidR="0037057C" w:rsidRPr="0037057C" w:rsidRDefault="0037057C" w:rsidP="00535C20">
            <w:pPr>
              <w:spacing w:before="240" w:line="360" w:lineRule="auto"/>
            </w:pPr>
            <w:proofErr w:type="spellStart"/>
            <w:r>
              <w:t>Function</w:t>
            </w:r>
            <w:proofErr w:type="spellEnd"/>
            <w:r w:rsidR="00535C20">
              <w:t xml:space="preserve"> (MP/MEP)</w:t>
            </w:r>
            <w:r>
              <w:t>:</w:t>
            </w:r>
          </w:p>
        </w:tc>
        <w:tc>
          <w:tcPr>
            <w:tcW w:w="5211" w:type="dxa"/>
          </w:tcPr>
          <w:p w:rsidR="0037057C" w:rsidRPr="0037057C" w:rsidRDefault="00535C20" w:rsidP="00535C20">
            <w:pPr>
              <w:spacing w:before="240" w:line="360" w:lineRule="auto"/>
            </w:pPr>
            <w:r>
              <w:t>Country:</w:t>
            </w:r>
          </w:p>
        </w:tc>
      </w:tr>
      <w:tr w:rsidR="0037057C" w:rsidRPr="0037057C" w:rsidTr="0037057C">
        <w:tc>
          <w:tcPr>
            <w:tcW w:w="4077" w:type="dxa"/>
          </w:tcPr>
          <w:p w:rsidR="0037057C" w:rsidRPr="0037057C" w:rsidRDefault="00535C20" w:rsidP="00535C20">
            <w:pPr>
              <w:spacing w:before="240" w:line="360" w:lineRule="auto"/>
            </w:pPr>
            <w:r>
              <w:t>Party:</w:t>
            </w:r>
          </w:p>
        </w:tc>
        <w:tc>
          <w:tcPr>
            <w:tcW w:w="5211" w:type="dxa"/>
          </w:tcPr>
          <w:p w:rsidR="0037057C" w:rsidRPr="0037057C" w:rsidRDefault="00535C20" w:rsidP="00535C20">
            <w:pPr>
              <w:spacing w:before="240" w:line="360" w:lineRule="auto"/>
            </w:pPr>
            <w:r>
              <w:t>Signature:</w:t>
            </w:r>
            <w:bookmarkStart w:id="0" w:name="_GoBack"/>
            <w:bookmarkEnd w:id="0"/>
          </w:p>
        </w:tc>
      </w:tr>
      <w:tr w:rsidR="00535C20" w:rsidRPr="0037057C" w:rsidTr="0037057C">
        <w:tc>
          <w:tcPr>
            <w:tcW w:w="4077" w:type="dxa"/>
          </w:tcPr>
          <w:p w:rsidR="00535C20" w:rsidRDefault="00535C20" w:rsidP="0037057C">
            <w:pPr>
              <w:spacing w:before="240"/>
            </w:pPr>
          </w:p>
        </w:tc>
        <w:tc>
          <w:tcPr>
            <w:tcW w:w="5211" w:type="dxa"/>
          </w:tcPr>
          <w:p w:rsidR="00535C20" w:rsidRPr="0037057C" w:rsidRDefault="00535C20" w:rsidP="0037057C">
            <w:pPr>
              <w:spacing w:before="240"/>
            </w:pPr>
          </w:p>
        </w:tc>
      </w:tr>
    </w:tbl>
    <w:p w:rsidR="009A78B0" w:rsidRPr="0017178C" w:rsidRDefault="009A78B0" w:rsidP="00037B22">
      <w:pPr>
        <w:rPr>
          <w:lang w:val="en-GB"/>
        </w:rPr>
      </w:pPr>
    </w:p>
    <w:sectPr w:rsidR="009A78B0" w:rsidRPr="0017178C" w:rsidSect="00037B22">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7C" w:rsidRDefault="0037057C" w:rsidP="0017178C">
      <w:pPr>
        <w:spacing w:after="0" w:line="240" w:lineRule="auto"/>
      </w:pPr>
      <w:r>
        <w:separator/>
      </w:r>
    </w:p>
  </w:endnote>
  <w:endnote w:type="continuationSeparator" w:id="0">
    <w:p w:rsidR="0037057C" w:rsidRDefault="0037057C" w:rsidP="0017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7C" w:rsidRDefault="0037057C" w:rsidP="0017178C">
      <w:pPr>
        <w:spacing w:after="0" w:line="240" w:lineRule="auto"/>
      </w:pPr>
      <w:r>
        <w:separator/>
      </w:r>
    </w:p>
  </w:footnote>
  <w:footnote w:type="continuationSeparator" w:id="0">
    <w:p w:rsidR="0037057C" w:rsidRDefault="0037057C" w:rsidP="0017178C">
      <w:pPr>
        <w:spacing w:after="0" w:line="240" w:lineRule="auto"/>
      </w:pPr>
      <w:r>
        <w:continuationSeparator/>
      </w:r>
    </w:p>
  </w:footnote>
  <w:footnote w:id="1">
    <w:p w:rsidR="0037057C" w:rsidRPr="00037B22" w:rsidRDefault="0037057C" w:rsidP="0017178C">
      <w:pPr>
        <w:spacing w:after="0"/>
        <w:rPr>
          <w:sz w:val="16"/>
          <w:szCs w:val="16"/>
          <w:lang w:val="en-US"/>
        </w:rPr>
      </w:pPr>
      <w:r w:rsidRPr="009A78B0">
        <w:rPr>
          <w:rStyle w:val="FootnoteReference"/>
          <w:sz w:val="16"/>
          <w:szCs w:val="16"/>
        </w:rPr>
        <w:footnoteRef/>
      </w:r>
      <w:r w:rsidRPr="009A78B0">
        <w:rPr>
          <w:sz w:val="16"/>
          <w:szCs w:val="16"/>
          <w:lang w:val="en-US"/>
        </w:rPr>
        <w:t xml:space="preserve"> </w:t>
      </w:r>
      <w:r w:rsidRPr="009A78B0">
        <w:rPr>
          <w:i/>
          <w:iCs/>
          <w:sz w:val="16"/>
          <w:szCs w:val="16"/>
          <w:lang w:val="en-US"/>
        </w:rPr>
        <w:t>EREC (European Renewable Energy Council), EuroACE (European Alliance of Companies for Energy Efficiency in Buildings), CEETB (European Energy Efficiency Installers – Committee for the Construction Industry), FEDARENE (European Federation of Regional Energy and Environment Agencies), Energy Cities (Association of European local authorities inventing their energy future), Climate Alliance (Association of European local authorities  committed to climate protection), ADEME (French Environment and Energy Management Agency), eclareon,  Ketchum Pleon.</w:t>
      </w:r>
    </w:p>
  </w:footnote>
  <w:footnote w:id="2">
    <w:p w:rsidR="0037057C" w:rsidRPr="00535C20" w:rsidRDefault="0037057C" w:rsidP="00535C20">
      <w:pPr>
        <w:pStyle w:val="FootnoteText"/>
        <w:jc w:val="both"/>
        <w:rPr>
          <w:sz w:val="16"/>
          <w:szCs w:val="16"/>
          <w:lang w:val="en-US"/>
        </w:rPr>
      </w:pPr>
      <w:r w:rsidRPr="009A78B0">
        <w:rPr>
          <w:rStyle w:val="FootnoteReference"/>
          <w:sz w:val="16"/>
          <w:szCs w:val="16"/>
        </w:rPr>
        <w:footnoteRef/>
      </w:r>
      <w:r w:rsidRPr="009A78B0">
        <w:rPr>
          <w:sz w:val="16"/>
          <w:szCs w:val="16"/>
          <w:lang w:val="en-US"/>
        </w:rPr>
        <w:t xml:space="preserve"> </w:t>
      </w:r>
      <w:r w:rsidRPr="009A78B0">
        <w:rPr>
          <w:i/>
          <w:iCs/>
          <w:sz w:val="16"/>
          <w:szCs w:val="16"/>
          <w:lang w:val="en-US"/>
        </w:rPr>
        <w:t>. The sole responsibility for the content of this document lies with the authors. It does not necessarily reflect the opinion of the European Union. Neither the EACI nor the European Commission is responsible for any use that may be made of the information contained therein.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7745C"/>
    <w:multiLevelType w:val="hybridMultilevel"/>
    <w:tmpl w:val="1CEE4E20"/>
    <w:lvl w:ilvl="0" w:tplc="8D1CFFF4">
      <w:start w:val="1"/>
      <w:numFmt w:val="decimal"/>
      <w:lvlText w:val="%1."/>
      <w:lvlJc w:val="left"/>
      <w:pPr>
        <w:ind w:left="360" w:hanging="360"/>
      </w:pPr>
      <w:rPr>
        <w:rFonts w:hint="default"/>
        <w:b/>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78C"/>
    <w:rsid w:val="00011C35"/>
    <w:rsid w:val="0002348A"/>
    <w:rsid w:val="00037B22"/>
    <w:rsid w:val="001174E2"/>
    <w:rsid w:val="0017178C"/>
    <w:rsid w:val="00250817"/>
    <w:rsid w:val="002607C0"/>
    <w:rsid w:val="00306AD6"/>
    <w:rsid w:val="00325C7B"/>
    <w:rsid w:val="0037057C"/>
    <w:rsid w:val="003E17E8"/>
    <w:rsid w:val="00535C20"/>
    <w:rsid w:val="00614045"/>
    <w:rsid w:val="006D3E52"/>
    <w:rsid w:val="008F00C9"/>
    <w:rsid w:val="009A78B0"/>
    <w:rsid w:val="009D2FEF"/>
    <w:rsid w:val="00A74E1C"/>
    <w:rsid w:val="00D34F50"/>
    <w:rsid w:val="00F977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1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78C"/>
    <w:rPr>
      <w:sz w:val="20"/>
      <w:szCs w:val="20"/>
    </w:rPr>
  </w:style>
  <w:style w:type="character" w:styleId="FootnoteReference">
    <w:name w:val="footnote reference"/>
    <w:basedOn w:val="DefaultParagraphFont"/>
    <w:uiPriority w:val="99"/>
    <w:semiHidden/>
    <w:unhideWhenUsed/>
    <w:rsid w:val="0017178C"/>
    <w:rPr>
      <w:vertAlign w:val="superscript"/>
    </w:rPr>
  </w:style>
  <w:style w:type="character" w:styleId="CommentReference">
    <w:name w:val="annotation reference"/>
    <w:basedOn w:val="DefaultParagraphFont"/>
    <w:uiPriority w:val="99"/>
    <w:semiHidden/>
    <w:unhideWhenUsed/>
    <w:rsid w:val="0017178C"/>
    <w:rPr>
      <w:sz w:val="16"/>
      <w:szCs w:val="16"/>
    </w:rPr>
  </w:style>
  <w:style w:type="paragraph" w:customStyle="1" w:styleId="CommentText1">
    <w:name w:val="Comment Text1"/>
    <w:basedOn w:val="Normal"/>
    <w:next w:val="CommentText"/>
    <w:link w:val="CommentTextChar"/>
    <w:uiPriority w:val="99"/>
    <w:semiHidden/>
    <w:unhideWhenUsed/>
    <w:rsid w:val="0017178C"/>
    <w:pPr>
      <w:spacing w:line="240" w:lineRule="auto"/>
    </w:pPr>
    <w:rPr>
      <w:sz w:val="20"/>
      <w:szCs w:val="20"/>
    </w:rPr>
  </w:style>
  <w:style w:type="character" w:customStyle="1" w:styleId="CommentTextChar">
    <w:name w:val="Comment Text Char"/>
    <w:basedOn w:val="DefaultParagraphFont"/>
    <w:link w:val="CommentText1"/>
    <w:uiPriority w:val="99"/>
    <w:semiHidden/>
    <w:rsid w:val="0017178C"/>
    <w:rPr>
      <w:sz w:val="20"/>
      <w:szCs w:val="20"/>
    </w:rPr>
  </w:style>
  <w:style w:type="paragraph" w:styleId="CommentText">
    <w:name w:val="annotation text"/>
    <w:basedOn w:val="Normal"/>
    <w:link w:val="CommentTextChar1"/>
    <w:uiPriority w:val="99"/>
    <w:semiHidden/>
    <w:unhideWhenUsed/>
    <w:rsid w:val="0017178C"/>
    <w:pPr>
      <w:spacing w:line="240" w:lineRule="auto"/>
    </w:pPr>
    <w:rPr>
      <w:sz w:val="20"/>
      <w:szCs w:val="20"/>
    </w:rPr>
  </w:style>
  <w:style w:type="character" w:customStyle="1" w:styleId="CommentTextChar1">
    <w:name w:val="Comment Text Char1"/>
    <w:basedOn w:val="DefaultParagraphFont"/>
    <w:link w:val="CommentText"/>
    <w:uiPriority w:val="99"/>
    <w:semiHidden/>
    <w:rsid w:val="0017178C"/>
    <w:rPr>
      <w:sz w:val="20"/>
      <w:szCs w:val="20"/>
    </w:rPr>
  </w:style>
  <w:style w:type="paragraph" w:styleId="BalloonText">
    <w:name w:val="Balloon Text"/>
    <w:basedOn w:val="Normal"/>
    <w:link w:val="BalloonTextChar"/>
    <w:uiPriority w:val="99"/>
    <w:semiHidden/>
    <w:unhideWhenUsed/>
    <w:rsid w:val="00171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78C"/>
    <w:rPr>
      <w:rFonts w:ascii="Tahoma" w:hAnsi="Tahoma" w:cs="Tahoma"/>
      <w:sz w:val="16"/>
      <w:szCs w:val="16"/>
    </w:rPr>
  </w:style>
  <w:style w:type="table" w:styleId="TableGrid">
    <w:name w:val="Table Grid"/>
    <w:basedOn w:val="TableNormal"/>
    <w:uiPriority w:val="59"/>
    <w:rsid w:val="0037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1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78C"/>
    <w:rPr>
      <w:sz w:val="20"/>
      <w:szCs w:val="20"/>
    </w:rPr>
  </w:style>
  <w:style w:type="character" w:styleId="FootnoteReference">
    <w:name w:val="footnote reference"/>
    <w:basedOn w:val="DefaultParagraphFont"/>
    <w:uiPriority w:val="99"/>
    <w:semiHidden/>
    <w:unhideWhenUsed/>
    <w:rsid w:val="0017178C"/>
    <w:rPr>
      <w:vertAlign w:val="superscript"/>
    </w:rPr>
  </w:style>
  <w:style w:type="character" w:styleId="CommentReference">
    <w:name w:val="annotation reference"/>
    <w:basedOn w:val="DefaultParagraphFont"/>
    <w:uiPriority w:val="99"/>
    <w:semiHidden/>
    <w:unhideWhenUsed/>
    <w:rsid w:val="0017178C"/>
    <w:rPr>
      <w:sz w:val="16"/>
      <w:szCs w:val="16"/>
    </w:rPr>
  </w:style>
  <w:style w:type="paragraph" w:customStyle="1" w:styleId="CommentText1">
    <w:name w:val="Comment Text1"/>
    <w:basedOn w:val="Normal"/>
    <w:next w:val="CommentText"/>
    <w:link w:val="CommentTextChar"/>
    <w:uiPriority w:val="99"/>
    <w:semiHidden/>
    <w:unhideWhenUsed/>
    <w:rsid w:val="0017178C"/>
    <w:pPr>
      <w:spacing w:line="240" w:lineRule="auto"/>
    </w:pPr>
    <w:rPr>
      <w:sz w:val="20"/>
      <w:szCs w:val="20"/>
    </w:rPr>
  </w:style>
  <w:style w:type="character" w:customStyle="1" w:styleId="CommentTextChar">
    <w:name w:val="Comment Text Char"/>
    <w:basedOn w:val="DefaultParagraphFont"/>
    <w:link w:val="CommentText1"/>
    <w:uiPriority w:val="99"/>
    <w:semiHidden/>
    <w:rsid w:val="0017178C"/>
    <w:rPr>
      <w:sz w:val="20"/>
      <w:szCs w:val="20"/>
    </w:rPr>
  </w:style>
  <w:style w:type="paragraph" w:styleId="CommentText">
    <w:name w:val="annotation text"/>
    <w:basedOn w:val="Normal"/>
    <w:link w:val="CommentTextChar1"/>
    <w:uiPriority w:val="99"/>
    <w:semiHidden/>
    <w:unhideWhenUsed/>
    <w:rsid w:val="0017178C"/>
    <w:pPr>
      <w:spacing w:line="240" w:lineRule="auto"/>
    </w:pPr>
    <w:rPr>
      <w:sz w:val="20"/>
      <w:szCs w:val="20"/>
    </w:rPr>
  </w:style>
  <w:style w:type="character" w:customStyle="1" w:styleId="CommentTextChar1">
    <w:name w:val="Comment Text Char1"/>
    <w:basedOn w:val="DefaultParagraphFont"/>
    <w:link w:val="CommentText"/>
    <w:uiPriority w:val="99"/>
    <w:semiHidden/>
    <w:rsid w:val="0017178C"/>
    <w:rPr>
      <w:sz w:val="20"/>
      <w:szCs w:val="20"/>
    </w:rPr>
  </w:style>
  <w:style w:type="paragraph" w:styleId="BalloonText">
    <w:name w:val="Balloon Text"/>
    <w:basedOn w:val="Normal"/>
    <w:link w:val="BalloonTextChar"/>
    <w:uiPriority w:val="99"/>
    <w:semiHidden/>
    <w:unhideWhenUsed/>
    <w:rsid w:val="00171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B44A-CB27-4E58-8F72-9A6C9B73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EuroAce</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Todisco</dc:creator>
  <cp:lastModifiedBy>Maria Inês Nascimento</cp:lastModifiedBy>
  <cp:revision>3</cp:revision>
  <cp:lastPrinted>2011-09-20T08:42:00Z</cp:lastPrinted>
  <dcterms:created xsi:type="dcterms:W3CDTF">2011-09-19T15:29:00Z</dcterms:created>
  <dcterms:modified xsi:type="dcterms:W3CDTF">2011-09-20T08:43:00Z</dcterms:modified>
</cp:coreProperties>
</file>